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B7" w:rsidRPr="005918F9" w:rsidRDefault="005F0CB7" w:rsidP="005F0CB7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918F9">
        <w:rPr>
          <w:rFonts w:ascii="Times New Roman" w:hAnsi="Times New Roman" w:cs="Times New Roman"/>
          <w:b/>
          <w:sz w:val="28"/>
          <w:szCs w:val="28"/>
          <w:lang w:val="sr-Cyrl-RS"/>
        </w:rPr>
        <w:t>039. Радно место за провођење промена у базама података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лист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катастарски план?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првог реда?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катастарска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државног премера?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јавности?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поуздања?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првенства?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су странке у поступку уписа?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Којом одлуком се окончава поступак ако нису испуњени услови за упис у смислу Закона о државном премеру и катастру?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облику се даје пуномоћје?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доставница?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јавно достављање?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гаражно место?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су граничне тачке?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посебан  део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парцелација?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препарцелација?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правни статус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фактичко стање?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омеђавање парцеле?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лис</w:t>
      </w:r>
      <w:bookmarkStart w:id="0" w:name="_GoBack"/>
      <w:bookmarkEnd w:id="0"/>
      <w:r w:rsidRPr="005918F9">
        <w:rPr>
          <w:rFonts w:ascii="Times New Roman" w:hAnsi="Times New Roman"/>
          <w:lang w:val="sr-Cyrl-RS"/>
        </w:rPr>
        <w:t>т непокретности садржи личне податке о имаоцу права?</w:t>
      </w:r>
    </w:p>
    <w:sectPr w:rsidR="005F0CB7" w:rsidRPr="00591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3B1CDB"/>
    <w:rsid w:val="004000C4"/>
    <w:rsid w:val="004A6291"/>
    <w:rsid w:val="00506CD4"/>
    <w:rsid w:val="005918F9"/>
    <w:rsid w:val="005F0CB7"/>
    <w:rsid w:val="0061089A"/>
    <w:rsid w:val="006E3A4A"/>
    <w:rsid w:val="007965C8"/>
    <w:rsid w:val="00A204D8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2018-05-28T09:54:00Z</dcterms:created>
  <dcterms:modified xsi:type="dcterms:W3CDTF">2018-05-28T10:47:00Z</dcterms:modified>
</cp:coreProperties>
</file>